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A28AF" w:rsidRDefault="009D5481" w:rsidP="00BA28AF">
      <w:pPr>
        <w:shd w:val="clear" w:color="auto" w:fill="FFFFFF" w:themeFill="background1"/>
        <w:rPr>
          <w:rFonts w:ascii="Arial" w:eastAsia="Times New Roman" w:hAnsi="Arial" w:cs="Arial"/>
          <w:b/>
          <w:sz w:val="24"/>
          <w:szCs w:val="24"/>
        </w:rPr>
      </w:pPr>
      <w:r>
        <w:fldChar w:fldCharType="begin"/>
      </w:r>
      <w:r>
        <w:instrText xml:space="preserve"> HYPERLINK "http://publichealthmy.org/ejournal/ojs2/index.php/ijphcs/pages/view/stemplate" \t "_blank" </w:instrText>
      </w:r>
      <w:r>
        <w:fldChar w:fldCharType="separate"/>
      </w:r>
      <w:r w:rsidR="00BA28AF" w:rsidRPr="00963D87">
        <w:rPr>
          <w:rFonts w:ascii="Arial" w:eastAsia="Times New Roman" w:hAnsi="Arial" w:cs="Arial"/>
          <w:b/>
          <w:sz w:val="24"/>
          <w:szCs w:val="24"/>
        </w:rPr>
        <w:t>Submission template</w:t>
      </w:r>
      <w:r>
        <w:rPr>
          <w:rFonts w:ascii="Arial" w:eastAsia="Times New Roman" w:hAnsi="Arial" w:cs="Arial"/>
          <w:b/>
          <w:sz w:val="24"/>
          <w:szCs w:val="24"/>
        </w:rPr>
        <w:fldChar w:fldCharType="end"/>
      </w:r>
    </w:p>
    <w:p w:rsidR="002B7E48" w:rsidRDefault="002B7E48" w:rsidP="002B7E48">
      <w:pPr>
        <w:pStyle w:val="SAP-Author"/>
        <w:keepNext/>
        <w:spacing w:after="0"/>
        <w:rPr>
          <w:sz w:val="36"/>
          <w:szCs w:val="48"/>
        </w:rPr>
      </w:pPr>
      <w:r>
        <w:rPr>
          <w:sz w:val="36"/>
          <w:szCs w:val="48"/>
        </w:rPr>
        <w:t>Text</w:t>
      </w:r>
      <w:r w:rsidRPr="00E835DC">
        <w:rPr>
          <w:sz w:val="36"/>
          <w:szCs w:val="48"/>
        </w:rPr>
        <w:t xml:space="preserve"> </w:t>
      </w:r>
      <w:r>
        <w:rPr>
          <w:sz w:val="36"/>
          <w:szCs w:val="48"/>
        </w:rPr>
        <w:t>Text</w:t>
      </w:r>
      <w:r w:rsidRPr="00E835DC" w:rsidDel="002B7E48">
        <w:rPr>
          <w:sz w:val="36"/>
          <w:szCs w:val="48"/>
        </w:rPr>
        <w:t xml:space="preserve"> </w:t>
      </w:r>
      <w:r>
        <w:rPr>
          <w:sz w:val="36"/>
          <w:szCs w:val="48"/>
        </w:rPr>
        <w:t>Text Text</w:t>
      </w:r>
      <w:r w:rsidRPr="00E835DC" w:rsidDel="002B7E48">
        <w:rPr>
          <w:sz w:val="36"/>
          <w:szCs w:val="48"/>
        </w:rPr>
        <w:t xml:space="preserve"> </w:t>
      </w:r>
      <w:r>
        <w:rPr>
          <w:sz w:val="36"/>
          <w:szCs w:val="48"/>
        </w:rPr>
        <w:t>Text</w:t>
      </w:r>
      <w:r w:rsidRPr="00E835DC" w:rsidDel="002B7E48">
        <w:rPr>
          <w:sz w:val="36"/>
          <w:szCs w:val="48"/>
        </w:rPr>
        <w:t xml:space="preserve"> </w:t>
      </w:r>
      <w:r>
        <w:rPr>
          <w:sz w:val="36"/>
          <w:szCs w:val="48"/>
        </w:rPr>
        <w:t>Text</w:t>
      </w:r>
      <w:r w:rsidRPr="00E835DC" w:rsidDel="002B7E48">
        <w:rPr>
          <w:sz w:val="36"/>
          <w:szCs w:val="48"/>
        </w:rPr>
        <w:t xml:space="preserve"> </w:t>
      </w:r>
      <w:r>
        <w:rPr>
          <w:sz w:val="36"/>
          <w:szCs w:val="48"/>
        </w:rPr>
        <w:t>Text</w:t>
      </w:r>
      <w:r w:rsidRPr="00E835DC" w:rsidDel="002B7E48">
        <w:rPr>
          <w:sz w:val="36"/>
          <w:szCs w:val="48"/>
        </w:rPr>
        <w:t xml:space="preserve"> </w:t>
      </w:r>
      <w:r>
        <w:rPr>
          <w:sz w:val="36"/>
          <w:szCs w:val="48"/>
        </w:rPr>
        <w:t xml:space="preserve">Text </w:t>
      </w:r>
    </w:p>
    <w:p w:rsidR="00E835DC" w:rsidRPr="00E835DC" w:rsidRDefault="002B7E48" w:rsidP="002B7E48">
      <w:pPr>
        <w:pStyle w:val="SAP-Author"/>
        <w:keepNext/>
        <w:spacing w:after="0"/>
        <w:rPr>
          <w:sz w:val="36"/>
          <w:szCs w:val="48"/>
        </w:rPr>
      </w:pPr>
      <w:r>
        <w:rPr>
          <w:sz w:val="36"/>
          <w:szCs w:val="48"/>
        </w:rPr>
        <w:t>Text</w:t>
      </w:r>
      <w:r w:rsidRPr="00E835DC" w:rsidDel="002B7E48">
        <w:rPr>
          <w:sz w:val="36"/>
          <w:szCs w:val="48"/>
        </w:rPr>
        <w:t xml:space="preserve"> </w:t>
      </w:r>
      <w:r>
        <w:rPr>
          <w:sz w:val="36"/>
          <w:szCs w:val="48"/>
        </w:rPr>
        <w:t>Text</w:t>
      </w:r>
      <w:r w:rsidRPr="00E835DC" w:rsidDel="002B7E48">
        <w:rPr>
          <w:sz w:val="36"/>
          <w:szCs w:val="48"/>
        </w:rPr>
        <w:t xml:space="preserve"> </w:t>
      </w:r>
      <w:r>
        <w:rPr>
          <w:sz w:val="36"/>
          <w:szCs w:val="48"/>
        </w:rPr>
        <w:t>Text</w:t>
      </w:r>
      <w:r w:rsidRPr="00E835DC" w:rsidDel="002B7E48">
        <w:rPr>
          <w:sz w:val="36"/>
          <w:szCs w:val="48"/>
        </w:rPr>
        <w:t xml:space="preserve"> </w:t>
      </w:r>
      <w:r>
        <w:rPr>
          <w:sz w:val="36"/>
          <w:szCs w:val="48"/>
        </w:rPr>
        <w:t>Text</w:t>
      </w:r>
      <w:r w:rsidRPr="00E835DC" w:rsidDel="002B7E48">
        <w:rPr>
          <w:sz w:val="36"/>
          <w:szCs w:val="48"/>
        </w:rPr>
        <w:t xml:space="preserve"> </w:t>
      </w:r>
    </w:p>
    <w:p w:rsidR="003B779A" w:rsidRPr="0032715F" w:rsidRDefault="00E835DC" w:rsidP="003B779A">
      <w:pPr>
        <w:pStyle w:val="SAP-Author"/>
        <w:keepNext/>
        <w:rPr>
          <w:rFonts w:eastAsia="SimSun"/>
        </w:rPr>
      </w:pPr>
      <w:r w:rsidRPr="0032715F">
        <w:t xml:space="preserve">First </w:t>
      </w:r>
      <w:r w:rsidRPr="0032715F">
        <w:rPr>
          <w:rFonts w:eastAsia="MS Mincho"/>
        </w:rPr>
        <w:t>Author</w:t>
      </w:r>
      <w:r w:rsidRPr="0032715F">
        <w:rPr>
          <w:vertAlign w:val="superscript"/>
        </w:rPr>
        <w:t>1</w:t>
      </w:r>
      <w:r w:rsidRPr="0032715F">
        <w:t xml:space="preserve">, Second </w:t>
      </w:r>
      <w:r w:rsidRPr="0032715F">
        <w:rPr>
          <w:rFonts w:eastAsia="MS Mincho"/>
        </w:rPr>
        <w:t>Author</w:t>
      </w:r>
      <w:r w:rsidRPr="0032715F">
        <w:rPr>
          <w:vertAlign w:val="superscript"/>
        </w:rPr>
        <w:t>2</w:t>
      </w:r>
      <w:r w:rsidRPr="0032715F">
        <w:t xml:space="preserve">, Third </w:t>
      </w:r>
      <w:r w:rsidRPr="0032715F">
        <w:rPr>
          <w:rFonts w:eastAsia="MS Mincho"/>
        </w:rPr>
        <w:t>Author</w:t>
      </w:r>
      <w:r w:rsidRPr="0032715F">
        <w:rPr>
          <w:vertAlign w:val="superscript"/>
        </w:rPr>
        <w:t>3</w:t>
      </w:r>
    </w:p>
    <w:p w:rsidR="003B779A" w:rsidRPr="00E835DC" w:rsidRDefault="003B779A" w:rsidP="003B779A">
      <w:pPr>
        <w:pStyle w:val="SAP-Affiliation"/>
        <w:rPr>
          <w:i/>
          <w:sz w:val="20"/>
        </w:rPr>
      </w:pPr>
      <w:r w:rsidRPr="00E835DC">
        <w:rPr>
          <w:i/>
          <w:sz w:val="20"/>
          <w:vertAlign w:val="superscript"/>
        </w:rPr>
        <w:t>1</w:t>
      </w:r>
      <w:r w:rsidRPr="00E835DC">
        <w:rPr>
          <w:i/>
          <w:sz w:val="20"/>
        </w:rPr>
        <w:t>Department Name of Org</w:t>
      </w:r>
      <w:r w:rsidR="00AC13A3" w:rsidRPr="00E835DC">
        <w:rPr>
          <w:i/>
          <w:sz w:val="20"/>
        </w:rPr>
        <w:t>anization, Name of Organization, Country</w:t>
      </w:r>
      <w:r w:rsidRPr="00E835DC">
        <w:rPr>
          <w:i/>
          <w:sz w:val="20"/>
        </w:rPr>
        <w:t xml:space="preserve"> (first</w:t>
      </w:r>
      <w:r w:rsidR="00E2248A" w:rsidRPr="00E835DC">
        <w:rPr>
          <w:i/>
          <w:sz w:val="20"/>
        </w:rPr>
        <w:t xml:space="preserve"> author’s</w:t>
      </w:r>
      <w:r w:rsidRPr="00E835DC">
        <w:rPr>
          <w:i/>
          <w:sz w:val="20"/>
        </w:rPr>
        <w:t xml:space="preserve"> affiliation)</w:t>
      </w:r>
    </w:p>
    <w:p w:rsidR="003B779A" w:rsidRPr="00E835DC" w:rsidRDefault="003B779A" w:rsidP="003B779A">
      <w:pPr>
        <w:pStyle w:val="SAP-Affiliation"/>
        <w:rPr>
          <w:i/>
          <w:sz w:val="20"/>
        </w:rPr>
      </w:pPr>
      <w:r w:rsidRPr="00E835DC">
        <w:rPr>
          <w:i/>
          <w:sz w:val="20"/>
          <w:vertAlign w:val="superscript"/>
        </w:rPr>
        <w:t>2</w:t>
      </w:r>
      <w:r w:rsidRPr="00E835DC">
        <w:rPr>
          <w:i/>
          <w:sz w:val="20"/>
        </w:rPr>
        <w:t>Department Name of Organiz</w:t>
      </w:r>
      <w:r w:rsidR="00AC13A3" w:rsidRPr="00E835DC">
        <w:rPr>
          <w:i/>
          <w:sz w:val="20"/>
        </w:rPr>
        <w:t xml:space="preserve">ation, Name of Organization, Country </w:t>
      </w:r>
      <w:r w:rsidRPr="00E835DC">
        <w:rPr>
          <w:i/>
          <w:sz w:val="20"/>
        </w:rPr>
        <w:t>(second</w:t>
      </w:r>
      <w:r w:rsidR="00E2248A" w:rsidRPr="00E835DC">
        <w:rPr>
          <w:i/>
          <w:sz w:val="20"/>
        </w:rPr>
        <w:t xml:space="preserve"> author’s</w:t>
      </w:r>
      <w:r w:rsidRPr="00E835DC">
        <w:rPr>
          <w:i/>
          <w:sz w:val="20"/>
        </w:rPr>
        <w:t xml:space="preserve"> affiliation)</w:t>
      </w:r>
    </w:p>
    <w:p w:rsidR="003B779A" w:rsidRPr="00E835DC" w:rsidRDefault="003B779A" w:rsidP="0032715F">
      <w:pPr>
        <w:pStyle w:val="SAP-AffiliationLastline"/>
        <w:rPr>
          <w:rFonts w:eastAsia="SimSun"/>
          <w:i/>
          <w:sz w:val="20"/>
        </w:rPr>
      </w:pPr>
      <w:r w:rsidRPr="00E835DC">
        <w:rPr>
          <w:i/>
          <w:sz w:val="20"/>
          <w:vertAlign w:val="superscript"/>
        </w:rPr>
        <w:t>3</w:t>
      </w:r>
      <w:r w:rsidRPr="00E835DC">
        <w:rPr>
          <w:i/>
          <w:sz w:val="20"/>
        </w:rPr>
        <w:t>Department Name of Orga</w:t>
      </w:r>
      <w:r w:rsidR="00AC13A3" w:rsidRPr="00E835DC">
        <w:rPr>
          <w:i/>
          <w:sz w:val="20"/>
        </w:rPr>
        <w:t xml:space="preserve">nization, Name of Organization, Country </w:t>
      </w:r>
      <w:r w:rsidRPr="00E835DC">
        <w:rPr>
          <w:rFonts w:eastAsia="SimSun"/>
          <w:i/>
          <w:sz w:val="20"/>
        </w:rPr>
        <w:t>(third</w:t>
      </w:r>
      <w:r w:rsidR="00E2248A" w:rsidRPr="00E835DC">
        <w:rPr>
          <w:rFonts w:eastAsia="SimSun"/>
          <w:i/>
          <w:sz w:val="20"/>
        </w:rPr>
        <w:t xml:space="preserve"> author’s</w:t>
      </w:r>
      <w:r w:rsidRPr="00E835DC">
        <w:rPr>
          <w:rFonts w:eastAsia="SimSun"/>
          <w:i/>
          <w:sz w:val="20"/>
        </w:rPr>
        <w:t xml:space="preserve"> affiliation)</w:t>
      </w:r>
    </w:p>
    <w:p w:rsidR="00E835DC" w:rsidRPr="005A2B9C" w:rsidRDefault="00E835DC" w:rsidP="00E835DC">
      <w:pPr>
        <w:jc w:val="center"/>
        <w:rPr>
          <w:rFonts w:ascii="Times New Roman" w:hAnsi="Times New Roman"/>
          <w:i/>
          <w:sz w:val="24"/>
          <w:szCs w:val="24"/>
        </w:rPr>
      </w:pPr>
      <w:r w:rsidRPr="00181CE4">
        <w:rPr>
          <w:rFonts w:ascii="Times New Roman" w:hAnsi="Times New Roman"/>
          <w:b/>
          <w:sz w:val="24"/>
          <w:szCs w:val="24"/>
        </w:rPr>
        <w:t>Corresponding author</w:t>
      </w:r>
      <w:r w:rsidRPr="00181CE4">
        <w:rPr>
          <w:rFonts w:ascii="Times New Roman" w:hAnsi="Times New Roman"/>
          <w:sz w:val="24"/>
          <w:szCs w:val="24"/>
        </w:rPr>
        <w:t xml:space="preserve">: </w:t>
      </w:r>
      <w:r w:rsidR="008B2AB2">
        <w:rPr>
          <w:rFonts w:ascii="Times New Roman" w:hAnsi="Times New Roman"/>
          <w:sz w:val="24"/>
          <w:szCs w:val="24"/>
        </w:rPr>
        <w:t xml:space="preserve">Name; </w:t>
      </w:r>
      <w:r>
        <w:rPr>
          <w:rFonts w:ascii="Times New Roman" w:hAnsi="Times New Roman"/>
          <w:sz w:val="24"/>
          <w:szCs w:val="24"/>
        </w:rPr>
        <w:t>e-mail address</w:t>
      </w:r>
      <w:r w:rsidR="008B2AB2">
        <w:rPr>
          <w:rFonts w:ascii="Times New Roman" w:hAnsi="Times New Roman"/>
          <w:sz w:val="24"/>
          <w:szCs w:val="24"/>
        </w:rPr>
        <w:t xml:space="preserve">; institutional address; </w:t>
      </w:r>
      <w:r w:rsidR="008B2AB2" w:rsidRPr="00635FD5">
        <w:rPr>
          <w:rFonts w:ascii="Times New Roman" w:hAnsi="Times New Roman"/>
          <w:sz w:val="24"/>
          <w:szCs w:val="24"/>
        </w:rPr>
        <w:t>office telephone number</w:t>
      </w:r>
      <w:r w:rsidR="008B2AB2">
        <w:rPr>
          <w:rFonts w:ascii="Times New Roman" w:hAnsi="Times New Roman"/>
          <w:sz w:val="24"/>
          <w:szCs w:val="24"/>
        </w:rPr>
        <w:t>; facsimile number</w:t>
      </w:r>
    </w:p>
    <w:p w:rsidR="00DA019F" w:rsidRPr="00DA019F" w:rsidRDefault="009D5481" w:rsidP="00A91B2D">
      <w:pPr>
        <w:pStyle w:val="SAP-AffiliationLastline"/>
        <w:spacing w:line="240" w:lineRule="exact"/>
        <w:rPr>
          <w:rFonts w:eastAsia="SimSun"/>
        </w:rPr>
      </w:pPr>
      <w:r>
        <w:rPr>
          <w:lang w:val="de-DE"/>
        </w:rPr>
        <w:pict>
          <v:rect id="_x0000_i1025" style="width:498.6pt;height:1pt" o:hralign="center" o:hrstd="t" o:hrnoshade="t" o:hr="t" fillcolor="black" stroked="f"/>
        </w:pict>
      </w:r>
    </w:p>
    <w:p w:rsidR="00E835DC" w:rsidRPr="00E835DC" w:rsidRDefault="00E835DC" w:rsidP="00E835DC">
      <w:pPr>
        <w:spacing w:line="360" w:lineRule="auto"/>
        <w:rPr>
          <w:rFonts w:ascii="Times New Roman" w:hAnsi="Times New Roman"/>
          <w:b/>
          <w:sz w:val="20"/>
          <w:szCs w:val="20"/>
        </w:rPr>
      </w:pPr>
      <w:r w:rsidRPr="00E835DC">
        <w:rPr>
          <w:rFonts w:ascii="Times New Roman" w:hAnsi="Times New Roman"/>
          <w:b/>
          <w:sz w:val="20"/>
          <w:szCs w:val="20"/>
        </w:rPr>
        <w:t>ABSTRACT</w:t>
      </w:r>
    </w:p>
    <w:p w:rsidR="00E835DC" w:rsidRPr="00E835DC" w:rsidRDefault="00E835DC" w:rsidP="003B779A">
      <w:pPr>
        <w:keepNext/>
        <w:spacing w:line="240" w:lineRule="exact"/>
        <w:rPr>
          <w:rFonts w:ascii="Times New Roman" w:hAnsi="Times New Roman"/>
          <w:sz w:val="20"/>
          <w:szCs w:val="20"/>
        </w:rPr>
      </w:pPr>
      <w:r w:rsidRPr="00E835DC">
        <w:rPr>
          <w:rFonts w:ascii="Times New Roman" w:hAnsi="Times New Roman"/>
          <w:b/>
          <w:sz w:val="20"/>
          <w:szCs w:val="20"/>
        </w:rPr>
        <w:t>Objective</w:t>
      </w:r>
      <w:r w:rsidRPr="00E835DC">
        <w:rPr>
          <w:rFonts w:ascii="Times New Roman" w:hAnsi="Times New Roman"/>
          <w:sz w:val="20"/>
          <w:szCs w:val="20"/>
        </w:rPr>
        <w:t>: Text</w:t>
      </w:r>
    </w:p>
    <w:p w:rsidR="00E835DC" w:rsidRPr="00E835DC" w:rsidRDefault="00E835DC" w:rsidP="003B779A">
      <w:pPr>
        <w:keepNext/>
        <w:spacing w:line="240" w:lineRule="exact"/>
        <w:rPr>
          <w:rFonts w:ascii="Times New Roman" w:hAnsi="Times New Roman"/>
          <w:sz w:val="20"/>
          <w:szCs w:val="20"/>
        </w:rPr>
      </w:pPr>
    </w:p>
    <w:p w:rsidR="00E835DC" w:rsidRPr="00E835DC" w:rsidRDefault="00E835DC" w:rsidP="00F46E3F">
      <w:pPr>
        <w:keepNext/>
        <w:spacing w:before="156" w:after="156" w:line="240" w:lineRule="exact"/>
        <w:rPr>
          <w:rFonts w:ascii="Times New Roman" w:hAnsi="Times New Roman"/>
          <w:sz w:val="20"/>
          <w:szCs w:val="20"/>
        </w:rPr>
      </w:pPr>
      <w:r w:rsidRPr="00E835DC">
        <w:rPr>
          <w:rFonts w:ascii="Times New Roman" w:hAnsi="Times New Roman"/>
          <w:b/>
          <w:sz w:val="20"/>
          <w:szCs w:val="20"/>
        </w:rPr>
        <w:t>Method</w:t>
      </w:r>
      <w:r w:rsidRPr="00E835DC">
        <w:rPr>
          <w:rFonts w:ascii="Times New Roman" w:hAnsi="Times New Roman"/>
          <w:sz w:val="20"/>
          <w:szCs w:val="20"/>
        </w:rPr>
        <w:t>: Text</w:t>
      </w:r>
    </w:p>
    <w:p w:rsidR="00E835DC" w:rsidRPr="00E835DC" w:rsidRDefault="00E835DC" w:rsidP="00F46E3F">
      <w:pPr>
        <w:keepNext/>
        <w:spacing w:before="156" w:after="156" w:line="240" w:lineRule="exact"/>
        <w:rPr>
          <w:rFonts w:ascii="Times New Roman" w:hAnsi="Times New Roman"/>
          <w:b/>
          <w:sz w:val="20"/>
          <w:szCs w:val="20"/>
        </w:rPr>
      </w:pPr>
    </w:p>
    <w:p w:rsidR="00E835DC" w:rsidRPr="00E835DC" w:rsidRDefault="00E835DC" w:rsidP="00F46E3F">
      <w:pPr>
        <w:keepNext/>
        <w:spacing w:before="156" w:after="156" w:line="240" w:lineRule="exact"/>
        <w:rPr>
          <w:rFonts w:ascii="Times New Roman" w:hAnsi="Times New Roman"/>
          <w:b/>
          <w:sz w:val="20"/>
          <w:szCs w:val="20"/>
        </w:rPr>
      </w:pPr>
      <w:r w:rsidRPr="00E835DC">
        <w:rPr>
          <w:rFonts w:ascii="Times New Roman" w:hAnsi="Times New Roman"/>
          <w:b/>
          <w:sz w:val="20"/>
          <w:szCs w:val="20"/>
        </w:rPr>
        <w:t xml:space="preserve">Result: </w:t>
      </w:r>
      <w:r w:rsidRPr="00E835DC">
        <w:rPr>
          <w:rFonts w:ascii="Times New Roman" w:hAnsi="Times New Roman"/>
          <w:sz w:val="20"/>
          <w:szCs w:val="20"/>
        </w:rPr>
        <w:t>Text</w:t>
      </w:r>
    </w:p>
    <w:p w:rsidR="00E835DC" w:rsidRPr="00E835DC" w:rsidRDefault="00E835DC" w:rsidP="00F46E3F">
      <w:pPr>
        <w:keepNext/>
        <w:spacing w:before="156" w:after="156" w:line="240" w:lineRule="exact"/>
        <w:rPr>
          <w:rFonts w:ascii="Times New Roman" w:hAnsi="Times New Roman"/>
          <w:b/>
          <w:sz w:val="20"/>
          <w:szCs w:val="20"/>
        </w:rPr>
      </w:pPr>
    </w:p>
    <w:p w:rsidR="00E835DC" w:rsidRPr="00E835DC" w:rsidRDefault="00E835DC" w:rsidP="00F46E3F">
      <w:pPr>
        <w:keepNext/>
        <w:spacing w:before="156" w:after="156" w:line="240" w:lineRule="exact"/>
        <w:rPr>
          <w:rStyle w:val="SAP-AbtractTextChar"/>
          <w:sz w:val="20"/>
          <w:szCs w:val="20"/>
        </w:rPr>
      </w:pPr>
      <w:r w:rsidRPr="00E835DC">
        <w:rPr>
          <w:rFonts w:ascii="Times New Roman" w:hAnsi="Times New Roman"/>
          <w:b/>
          <w:sz w:val="20"/>
          <w:szCs w:val="20"/>
        </w:rPr>
        <w:t>Conclusion</w:t>
      </w:r>
      <w:r w:rsidRPr="00E835DC">
        <w:rPr>
          <w:rFonts w:ascii="Times New Roman" w:hAnsi="Times New Roman"/>
          <w:sz w:val="20"/>
          <w:szCs w:val="20"/>
        </w:rPr>
        <w:t>: Text</w:t>
      </w:r>
    </w:p>
    <w:p w:rsidR="00E835DC" w:rsidRPr="00E835DC" w:rsidRDefault="00E835DC" w:rsidP="00F46E3F">
      <w:pPr>
        <w:keepNext/>
        <w:spacing w:before="156" w:after="156" w:line="240" w:lineRule="exact"/>
        <w:rPr>
          <w:rStyle w:val="SAP-KeywordsHeadingChar"/>
          <w:rFonts w:eastAsia="SimSun"/>
          <w:sz w:val="20"/>
          <w:szCs w:val="20"/>
        </w:rPr>
      </w:pPr>
    </w:p>
    <w:p w:rsidR="003B779A" w:rsidRPr="00E835DC" w:rsidRDefault="003B779A" w:rsidP="00F46E3F">
      <w:pPr>
        <w:keepNext/>
        <w:spacing w:before="156" w:after="156" w:line="240" w:lineRule="exact"/>
        <w:rPr>
          <w:rFonts w:ascii="Times New Roman" w:hAnsi="Times New Roman"/>
          <w:sz w:val="20"/>
          <w:szCs w:val="20"/>
        </w:rPr>
      </w:pPr>
      <w:r w:rsidRPr="00E835DC">
        <w:rPr>
          <w:rStyle w:val="SAP-KeywordsHeadingChar"/>
          <w:rFonts w:eastAsia="SimSun"/>
          <w:sz w:val="20"/>
          <w:szCs w:val="20"/>
        </w:rPr>
        <w:t>Keywords</w:t>
      </w:r>
      <w:r w:rsidR="00E835DC" w:rsidRPr="00E835DC">
        <w:rPr>
          <w:rStyle w:val="SAP-KeywordsHeadingChar"/>
          <w:rFonts w:eastAsia="SimSun"/>
          <w:sz w:val="20"/>
          <w:szCs w:val="20"/>
        </w:rPr>
        <w:t xml:space="preserve">: </w:t>
      </w:r>
      <w:r w:rsidRPr="00E835DC">
        <w:rPr>
          <w:rStyle w:val="SAP-KeywordsTextChar"/>
          <w:rFonts w:eastAsia="SimSun"/>
          <w:i/>
          <w:szCs w:val="20"/>
        </w:rPr>
        <w:t>Include at least 3 keywords or phras</w:t>
      </w:r>
      <w:r w:rsidR="00E835DC" w:rsidRPr="00E835DC">
        <w:rPr>
          <w:rStyle w:val="SAP-KeywordsTextChar"/>
          <w:rFonts w:eastAsia="SimSun"/>
          <w:i/>
          <w:szCs w:val="20"/>
        </w:rPr>
        <w:t>es</w:t>
      </w:r>
    </w:p>
    <w:p w:rsidR="0032715F" w:rsidRPr="0032715F" w:rsidRDefault="00E835DC" w:rsidP="0032715F">
      <w:pPr>
        <w:spacing w:line="240" w:lineRule="exact"/>
        <w:rPr>
          <w:rFonts w:ascii="Times New Roman" w:hAnsi="Times New Roman"/>
          <w:lang w:val="de-DE"/>
        </w:rPr>
        <w:sectPr w:rsidR="0032715F" w:rsidRPr="0032715F" w:rsidSect="0032715F">
          <w:headerReference w:type="even" r:id="rId8"/>
          <w:type w:val="continuous"/>
          <w:pgSz w:w="11907" w:h="16160" w:code="9"/>
          <w:pgMar w:top="851" w:right="851" w:bottom="851" w:left="1134" w:header="1134" w:footer="1134" w:gutter="0"/>
          <w:pgNumType w:start="1"/>
          <w:cols w:space="252"/>
          <w:docGrid w:type="lines" w:linePitch="312"/>
        </w:sectPr>
      </w:pPr>
      <w:r>
        <w:rPr>
          <w:rFonts w:ascii="Times New Roman" w:hAnsi="Times New Roman"/>
          <w:lang w:val="de-DE"/>
        </w:rPr>
        <w:t>(Not exceeding 200 words)</w:t>
      </w:r>
    </w:p>
    <w:p w:rsidR="0032715F" w:rsidRPr="0032715F" w:rsidRDefault="009D5481" w:rsidP="00510453">
      <w:pPr>
        <w:spacing w:after="156" w:line="240" w:lineRule="exact"/>
        <w:rPr>
          <w:rFonts w:ascii="Times New Roman" w:hAnsi="Times New Roman"/>
          <w:lang w:val="de-DE"/>
        </w:rPr>
        <w:sectPr w:rsidR="0032715F" w:rsidRPr="0032715F" w:rsidSect="0032715F">
          <w:type w:val="continuous"/>
          <w:pgSz w:w="11907" w:h="16160" w:code="9"/>
          <w:pgMar w:top="851" w:right="851" w:bottom="851" w:left="1134" w:header="1134" w:footer="1134" w:gutter="0"/>
          <w:pgNumType w:start="1"/>
          <w:cols w:space="252"/>
          <w:docGrid w:type="lines" w:linePitch="312"/>
        </w:sectPr>
      </w:pPr>
      <w:r>
        <w:rPr>
          <w:rFonts w:ascii="Times New Roman" w:hAnsi="Times New Roman"/>
          <w:lang w:val="de-DE"/>
        </w:rPr>
        <w:lastRenderedPageBreak/>
        <w:pict>
          <v:rect id="_x0000_i1026" style="width:498.6pt;height:1pt" o:hralign="center" o:hrstd="t" o:hrnoshade="t" o:hr="t" fillcolor="black" stroked="f"/>
        </w:pict>
      </w:r>
    </w:p>
    <w:p w:rsidR="003B779A" w:rsidRPr="0032715F" w:rsidRDefault="003B779A" w:rsidP="003B779A">
      <w:pPr>
        <w:pStyle w:val="SAP-Level1HeadingSingleline"/>
        <w:keepNext/>
      </w:pPr>
      <w:r w:rsidRPr="0032715F">
        <w:rPr>
          <w:rFonts w:eastAsia="SimSun"/>
        </w:rPr>
        <w:lastRenderedPageBreak/>
        <w:t xml:space="preserve">1. </w:t>
      </w:r>
      <w:r w:rsidRPr="0032715F">
        <w:t>Introduction</w:t>
      </w:r>
    </w:p>
    <w:p w:rsidR="003B779A" w:rsidRPr="002B7E48" w:rsidRDefault="00E835DC" w:rsidP="00F758FF">
      <w:pPr>
        <w:pStyle w:val="SAP-Paragraph"/>
        <w:ind w:firstLineChars="0" w:firstLine="200"/>
        <w:rPr>
          <w:rFonts w:eastAsia="MS Mincho"/>
          <w:lang w:val="en-US"/>
        </w:rPr>
      </w:pPr>
      <w:r w:rsidRPr="00E835DC">
        <w:rPr>
          <w:rFonts w:eastAsia="MS Mincho"/>
          <w:lang w:val="en-US"/>
        </w:rPr>
        <w:t xml:space="preserve">Unlike established manufacturers of gold jewelry, small gold workshops may not have the expertise in Safety and Health to provide effective engineering control methods to reduce the workers exposure to heavy metal. These heavy metals exposure may occur during the steps of molding, casting, filling, polishing and plating gold </w:t>
      </w:r>
      <w:r w:rsidRPr="002B7E48">
        <w:rPr>
          <w:rFonts w:eastAsia="MS Mincho"/>
          <w:lang w:val="en-US"/>
        </w:rPr>
        <w:t>jewelries and routes of exposures to metal fumes, vapors and dusts is largely via inhalation.</w:t>
      </w:r>
    </w:p>
    <w:p w:rsidR="00E835DC" w:rsidRPr="002B7E48" w:rsidRDefault="00E835DC" w:rsidP="00E835DC">
      <w:pPr>
        <w:pStyle w:val="SAP-Paragraph"/>
        <w:ind w:firstLineChars="0" w:firstLine="0"/>
        <w:rPr>
          <w:rFonts w:eastAsia="MS Mincho"/>
          <w:lang w:val="en-US"/>
        </w:rPr>
      </w:pPr>
    </w:p>
    <w:p w:rsidR="00E835DC" w:rsidRPr="002B7E48" w:rsidRDefault="00E835DC" w:rsidP="00E835DC">
      <w:pPr>
        <w:pStyle w:val="SAP-Paragraph"/>
        <w:ind w:firstLine="200"/>
        <w:rPr>
          <w:lang w:val="en-US"/>
        </w:rPr>
      </w:pPr>
      <w:r w:rsidRPr="002B7E48">
        <w:rPr>
          <w:lang w:val="en-US"/>
        </w:rPr>
        <w:t xml:space="preserve">Based on the present literature, limited number of study has reported heavy metal exposures among goldsmith workers who handle the production of jewelries. In Malaysia, there have been no studies as of yet which relates heavy metal exposure among gold jewelry workers with biological monitoring. There is a need to provide a baseline data of heavy metals exposures among goldsmith workers in order to compare it to existing standards. This is to ensure workers were </w:t>
      </w:r>
      <w:r w:rsidRPr="002B7E48">
        <w:rPr>
          <w:lang w:val="en-US"/>
        </w:rPr>
        <w:lastRenderedPageBreak/>
        <w:t xml:space="preserve">not subjected to unacceptable level of heavy metal exposures that have been linked to deleterious health effects such as cancers. </w:t>
      </w:r>
    </w:p>
    <w:p w:rsidR="003B779A" w:rsidRPr="002B7E48" w:rsidRDefault="003B779A" w:rsidP="003B779A">
      <w:pPr>
        <w:pStyle w:val="SAP-Level1HeadingSingleline"/>
        <w:keepNext/>
      </w:pPr>
      <w:r w:rsidRPr="002B7E48">
        <w:t xml:space="preserve">2. </w:t>
      </w:r>
      <w:r w:rsidR="00E835DC" w:rsidRPr="002B7E48">
        <w:t>Materials and Method</w:t>
      </w:r>
    </w:p>
    <w:p w:rsidR="003B779A" w:rsidRPr="002B7E48" w:rsidRDefault="00E835DC" w:rsidP="008B2AB2">
      <w:pPr>
        <w:pStyle w:val="SAP-Paragraph"/>
        <w:ind w:firstLineChars="0" w:firstLine="142"/>
      </w:pPr>
      <w:r w:rsidRPr="002B7E48">
        <w:rPr>
          <w:lang w:val="en-US"/>
        </w:rPr>
        <w:t>This was a cross-sectional study conducted among welders employed in small and medium sized establishments of automobile workshop in Malaysia.</w:t>
      </w:r>
    </w:p>
    <w:p w:rsidR="003B779A" w:rsidRPr="002B7E48" w:rsidRDefault="0032715F" w:rsidP="00E46F15">
      <w:pPr>
        <w:pStyle w:val="SAP-Level2HeadingSingleline"/>
        <w:rPr>
          <w:rFonts w:eastAsia="SimSun"/>
          <w:sz w:val="24"/>
        </w:rPr>
      </w:pPr>
      <w:r w:rsidRPr="002B7E48">
        <w:rPr>
          <w:rFonts w:eastAsia="SimSun" w:hint="eastAsia"/>
        </w:rPr>
        <w:t>2.1</w:t>
      </w:r>
      <w:r w:rsidR="00F008DB" w:rsidRPr="002B7E48">
        <w:rPr>
          <w:rFonts w:eastAsia="SimSun"/>
        </w:rPr>
        <w:t>.</w:t>
      </w:r>
      <w:r w:rsidRPr="002B7E48">
        <w:rPr>
          <w:rFonts w:eastAsia="SimSun" w:hint="eastAsia"/>
        </w:rPr>
        <w:t xml:space="preserve"> </w:t>
      </w:r>
      <w:r w:rsidR="00E835DC" w:rsidRPr="002B7E48">
        <w:rPr>
          <w:rFonts w:eastAsia="SimSun"/>
          <w:sz w:val="24"/>
        </w:rPr>
        <w:t>Subtopic</w:t>
      </w:r>
    </w:p>
    <w:p w:rsidR="00E835DC" w:rsidRDefault="00E835DC" w:rsidP="00E835DC">
      <w:pPr>
        <w:pStyle w:val="SAP-Paragraph"/>
        <w:ind w:firstLine="200"/>
        <w:rPr>
          <w:szCs w:val="20"/>
          <w:lang w:val="en-US"/>
        </w:rPr>
      </w:pPr>
      <w:r w:rsidRPr="00E835DC">
        <w:rPr>
          <w:szCs w:val="20"/>
          <w:lang w:val="en-US"/>
        </w:rPr>
        <w:t xml:space="preserve">Before analysis, the hair samples were prepared and digested using hair analysis method (D’Ilio et. al, 2000) at the Bioscience Institute Laboratory, Universiti Putra Malaysia. The steps included the following: 1) the collected hair samples were cut into smaller pieces and then 2) the samples were added with 50 ml deionized water (60°C) and kept for 30 minutes. Next, 3) the hair samples were washed for three </w:t>
      </w:r>
      <w:r w:rsidRPr="00E835DC">
        <w:rPr>
          <w:szCs w:val="20"/>
          <w:lang w:val="en-US"/>
        </w:rPr>
        <w:lastRenderedPageBreak/>
        <w:t xml:space="preserve">times with ultra-pure water and were next 4) dried in a drying oven for 15 minutes at 105°C. </w:t>
      </w:r>
    </w:p>
    <w:p w:rsidR="00625A74" w:rsidRDefault="00625A74" w:rsidP="00E835DC">
      <w:pPr>
        <w:pStyle w:val="SAP-Paragraph"/>
        <w:ind w:firstLine="200"/>
        <w:rPr>
          <w:szCs w:val="20"/>
          <w:lang w:val="en-US"/>
        </w:rPr>
      </w:pPr>
    </w:p>
    <w:p w:rsidR="00E835DC" w:rsidRPr="00E835DC" w:rsidRDefault="00E835DC" w:rsidP="00E835DC">
      <w:pPr>
        <w:pStyle w:val="SAP-Paragraph"/>
        <w:ind w:firstLine="200"/>
        <w:rPr>
          <w:szCs w:val="20"/>
          <w:lang w:val="en-US"/>
        </w:rPr>
      </w:pPr>
      <w:r w:rsidRPr="00E835DC">
        <w:rPr>
          <w:szCs w:val="20"/>
          <w:lang w:val="en-US"/>
        </w:rPr>
        <w:t>For digestion, approximately 300-400 mg of hair samples in 100 ml beakers were added with 2 ml 69% concentrated nitric acid or HNO</w:t>
      </w:r>
      <w:r w:rsidRPr="00E835DC">
        <w:rPr>
          <w:szCs w:val="20"/>
          <w:vertAlign w:val="subscript"/>
          <w:lang w:val="en-US"/>
        </w:rPr>
        <w:t>3</w:t>
      </w:r>
      <w:r w:rsidRPr="00E835DC">
        <w:rPr>
          <w:szCs w:val="20"/>
          <w:lang w:val="en-US"/>
        </w:rPr>
        <w:t xml:space="preserve"> and were left to predigest for 30 minutes. The hair samples were then placed in the microwave d</w:t>
      </w:r>
      <w:r w:rsidR="00625A74">
        <w:rPr>
          <w:szCs w:val="20"/>
          <w:lang w:val="en-US"/>
        </w:rPr>
        <w:t>igester at 80°C for 45 minutes.</w:t>
      </w:r>
    </w:p>
    <w:p w:rsidR="003B779A" w:rsidRPr="0032715F" w:rsidRDefault="003B779A" w:rsidP="003B779A">
      <w:pPr>
        <w:pStyle w:val="SAP-Level1HeadingSingleline"/>
        <w:keepNext/>
        <w:rPr>
          <w:rFonts w:eastAsia="SimSun"/>
        </w:rPr>
      </w:pPr>
      <w:r w:rsidRPr="0032715F">
        <w:t xml:space="preserve">3. </w:t>
      </w:r>
      <w:r w:rsidR="00625A74">
        <w:t>Results</w:t>
      </w:r>
    </w:p>
    <w:p w:rsidR="00625A74" w:rsidRPr="00625A74" w:rsidRDefault="00625A74" w:rsidP="00625A74">
      <w:pPr>
        <w:pStyle w:val="SAP-Paragraph"/>
        <w:ind w:firstLine="200"/>
        <w:rPr>
          <w:lang w:val="en-US"/>
        </w:rPr>
      </w:pPr>
      <w:r>
        <w:t xml:space="preserve">This study was able to recruit 48 number of participants. </w:t>
      </w:r>
      <w:r w:rsidRPr="00604E0E">
        <w:rPr>
          <w:rFonts w:eastAsia="Calibri"/>
          <w:lang w:val="en-US"/>
        </w:rPr>
        <w:t xml:space="preserve">The results in Table 1 and 2 showed that among exposed participants, there were higher percentages of males when compared to females, lower education level  (diploma level) compared to higher education level and there were more lower income level (RM 1000-2999) compared to higher income level. Almost one-third of the respondents were current smokers. </w:t>
      </w:r>
    </w:p>
    <w:p w:rsidR="003B779A" w:rsidRPr="002B7E48" w:rsidRDefault="003B779A" w:rsidP="003B779A">
      <w:pPr>
        <w:pStyle w:val="SAP-Level2HeadingSingleline"/>
        <w:keepNext/>
      </w:pPr>
      <w:r w:rsidRPr="002B7E48">
        <w:t xml:space="preserve">3.1. </w:t>
      </w:r>
      <w:r w:rsidR="00625A74" w:rsidRPr="002B7E48">
        <w:rPr>
          <w:sz w:val="24"/>
        </w:rPr>
        <w:t>Work history</w:t>
      </w:r>
    </w:p>
    <w:p w:rsidR="003B779A" w:rsidRPr="002B7E48" w:rsidRDefault="00625A74" w:rsidP="00625A74">
      <w:pPr>
        <w:pStyle w:val="SAP-Paragraph"/>
        <w:ind w:firstLine="200"/>
        <w:rPr>
          <w:lang w:val="en-US"/>
        </w:rPr>
      </w:pPr>
      <w:r w:rsidRPr="002B7E48">
        <w:rPr>
          <w:lang w:val="en-US"/>
        </w:rPr>
        <w:t xml:space="preserve">The result for the hair samples is presented in Table 2. In terms of Pb exposure, all workers had Pb exposure and the mean±standard deviation of Pb was 68.00±100.41 μg/g. On the other hand, the geometric mean of Pb levels in hair samples was 30.90 μg/g. </w:t>
      </w:r>
    </w:p>
    <w:p w:rsidR="00B42FF2" w:rsidRPr="0032715F" w:rsidRDefault="00B42FF2" w:rsidP="00B42FF2">
      <w:pPr>
        <w:pStyle w:val="SAP-Level2HeadingSingleline"/>
        <w:keepNext/>
      </w:pPr>
      <w:r w:rsidRPr="002B7E48">
        <w:t xml:space="preserve">3.2. </w:t>
      </w:r>
      <w:r w:rsidR="006338FA">
        <w:rPr>
          <w:sz w:val="24"/>
        </w:rPr>
        <w:t>Heavy metal analysis</w:t>
      </w:r>
    </w:p>
    <w:p w:rsidR="00625A74" w:rsidRPr="00625A74" w:rsidRDefault="00625A74" w:rsidP="00625A74">
      <w:pPr>
        <w:pStyle w:val="SAP-Paragraph"/>
        <w:ind w:firstLine="200"/>
        <w:rPr>
          <w:lang w:val="en-US"/>
        </w:rPr>
      </w:pPr>
      <w:r w:rsidRPr="00625A74">
        <w:rPr>
          <w:lang w:val="en-US"/>
        </w:rPr>
        <w:t xml:space="preserve">Further analysis performed between the distribution of logged Pb and logged Cu values found that there was a strong correlation between the two metals in the hair samples as presented in Table </w:t>
      </w:r>
      <w:r>
        <w:rPr>
          <w:lang w:val="en-US"/>
        </w:rPr>
        <w:t>1</w:t>
      </w:r>
      <w:r w:rsidR="00F758FF">
        <w:rPr>
          <w:lang w:val="en-US"/>
        </w:rPr>
        <w:t>.</w:t>
      </w:r>
    </w:p>
    <w:p w:rsidR="00625A74" w:rsidRPr="00B42FF2" w:rsidRDefault="00625A74" w:rsidP="00B42FF2">
      <w:pPr>
        <w:pStyle w:val="SAP-Paragraph"/>
        <w:ind w:firstLine="200"/>
        <w:rPr>
          <w:rFonts w:eastAsia="SimSun"/>
        </w:rPr>
      </w:pPr>
    </w:p>
    <w:p w:rsidR="00625A74" w:rsidRPr="00F758FF" w:rsidRDefault="00625A74" w:rsidP="00625A74">
      <w:pPr>
        <w:jc w:val="center"/>
        <w:rPr>
          <w:rFonts w:ascii="Times New Roman" w:hAnsi="Times New Roman"/>
          <w:b/>
          <w:sz w:val="16"/>
        </w:rPr>
      </w:pPr>
      <w:r w:rsidRPr="00F758FF">
        <w:rPr>
          <w:rFonts w:ascii="Times New Roman" w:hAnsi="Times New Roman"/>
          <w:b/>
          <w:sz w:val="16"/>
        </w:rPr>
        <w:t>Table 1</w:t>
      </w:r>
      <w:r w:rsidR="00F758FF" w:rsidRPr="00F758FF">
        <w:rPr>
          <w:rFonts w:ascii="Times New Roman" w:hAnsi="Times New Roman"/>
          <w:b/>
          <w:sz w:val="16"/>
        </w:rPr>
        <w:t>.</w:t>
      </w:r>
      <w:r w:rsidRPr="00F758FF">
        <w:rPr>
          <w:rFonts w:ascii="Times New Roman" w:hAnsi="Times New Roman"/>
          <w:b/>
          <w:sz w:val="16"/>
        </w:rPr>
        <w:t xml:space="preserve"> </w:t>
      </w:r>
      <w:r w:rsidRPr="00F758FF">
        <w:rPr>
          <w:rFonts w:ascii="Times New Roman" w:hAnsi="Times New Roman"/>
          <w:sz w:val="16"/>
        </w:rPr>
        <w:t xml:space="preserve">The correlation between </w:t>
      </w:r>
      <w:r w:rsidR="00C6075A">
        <w:rPr>
          <w:rFonts w:ascii="Times New Roman" w:hAnsi="Times New Roman"/>
          <w:sz w:val="16"/>
        </w:rPr>
        <w:t>heavy metals</w:t>
      </w:r>
      <w:r w:rsidRPr="00F758FF">
        <w:rPr>
          <w:rFonts w:ascii="Times New Roman" w:hAnsi="Times New Roman"/>
          <w:sz w:val="16"/>
        </w:rPr>
        <w:t>in hair samples of goldsmiths (n=48)</w:t>
      </w:r>
    </w:p>
    <w:tbl>
      <w:tblPr>
        <w:tblW w:w="4088" w:type="pct"/>
        <w:jc w:val="center"/>
        <w:tblLayout w:type="fixed"/>
        <w:tblLook w:val="04A0" w:firstRow="1" w:lastRow="0" w:firstColumn="1" w:lastColumn="0" w:noHBand="0" w:noVBand="1"/>
      </w:tblPr>
      <w:tblGrid>
        <w:gridCol w:w="899"/>
        <w:gridCol w:w="1739"/>
        <w:gridCol w:w="1315"/>
      </w:tblGrid>
      <w:tr w:rsidR="00625A74" w:rsidRPr="009418F4" w:rsidTr="00426938">
        <w:trPr>
          <w:trHeight w:val="409"/>
          <w:jc w:val="center"/>
        </w:trPr>
        <w:tc>
          <w:tcPr>
            <w:tcW w:w="1137" w:type="pct"/>
            <w:tcBorders>
              <w:top w:val="single" w:sz="4" w:space="0" w:color="auto"/>
              <w:bottom w:val="single" w:sz="4" w:space="0" w:color="auto"/>
            </w:tcBorders>
            <w:shd w:val="clear" w:color="auto" w:fill="auto"/>
          </w:tcPr>
          <w:p w:rsidR="00625A74" w:rsidRPr="00604E0E" w:rsidRDefault="00625A74" w:rsidP="00625A74">
            <w:pPr>
              <w:rPr>
                <w:rFonts w:ascii="Times New Roman" w:eastAsia="Calibri" w:hAnsi="Times New Roman"/>
                <w:sz w:val="20"/>
                <w:szCs w:val="20"/>
              </w:rPr>
            </w:pPr>
          </w:p>
        </w:tc>
        <w:tc>
          <w:tcPr>
            <w:tcW w:w="2200" w:type="pct"/>
            <w:tcBorders>
              <w:top w:val="single" w:sz="4" w:space="0" w:color="auto"/>
              <w:bottom w:val="single" w:sz="4" w:space="0" w:color="auto"/>
            </w:tcBorders>
            <w:shd w:val="clear" w:color="auto" w:fill="auto"/>
          </w:tcPr>
          <w:p w:rsidR="00625A74" w:rsidRPr="00604E0E" w:rsidRDefault="00625A74" w:rsidP="00604E0E">
            <w:pPr>
              <w:jc w:val="center"/>
              <w:rPr>
                <w:rFonts w:ascii="Times New Roman" w:eastAsia="Calibri" w:hAnsi="Times New Roman"/>
                <w:sz w:val="20"/>
                <w:szCs w:val="20"/>
              </w:rPr>
            </w:pPr>
            <w:r w:rsidRPr="00604E0E">
              <w:rPr>
                <w:rFonts w:ascii="Times New Roman" w:eastAsia="Calibri" w:hAnsi="Times New Roman"/>
                <w:sz w:val="20"/>
                <w:szCs w:val="20"/>
              </w:rPr>
              <w:t>Pearson correlation</w:t>
            </w:r>
          </w:p>
        </w:tc>
        <w:tc>
          <w:tcPr>
            <w:tcW w:w="1663" w:type="pct"/>
            <w:tcBorders>
              <w:top w:val="single" w:sz="4" w:space="0" w:color="auto"/>
              <w:bottom w:val="single" w:sz="4" w:space="0" w:color="auto"/>
            </w:tcBorders>
            <w:shd w:val="clear" w:color="auto" w:fill="auto"/>
          </w:tcPr>
          <w:p w:rsidR="00625A74" w:rsidRPr="00604E0E" w:rsidRDefault="00625A74" w:rsidP="00604E0E">
            <w:pPr>
              <w:jc w:val="center"/>
              <w:rPr>
                <w:rFonts w:ascii="Times New Roman" w:eastAsia="Calibri" w:hAnsi="Times New Roman"/>
                <w:sz w:val="20"/>
                <w:szCs w:val="20"/>
              </w:rPr>
            </w:pPr>
            <w:r w:rsidRPr="00604E0E">
              <w:rPr>
                <w:rFonts w:ascii="Times New Roman" w:eastAsia="Calibri" w:hAnsi="Times New Roman"/>
                <w:sz w:val="20"/>
                <w:szCs w:val="20"/>
              </w:rPr>
              <w:t>P value</w:t>
            </w:r>
          </w:p>
        </w:tc>
      </w:tr>
      <w:tr w:rsidR="00625A74" w:rsidRPr="009418F4" w:rsidTr="00426938">
        <w:trPr>
          <w:trHeight w:val="110"/>
          <w:jc w:val="center"/>
        </w:trPr>
        <w:tc>
          <w:tcPr>
            <w:tcW w:w="1136" w:type="pct"/>
            <w:tcBorders>
              <w:top w:val="single" w:sz="4" w:space="0" w:color="auto"/>
            </w:tcBorders>
            <w:shd w:val="clear" w:color="auto" w:fill="auto"/>
          </w:tcPr>
          <w:p w:rsidR="00625A74" w:rsidRPr="00604E0E" w:rsidRDefault="00625A74" w:rsidP="00604E0E">
            <w:pPr>
              <w:jc w:val="center"/>
              <w:rPr>
                <w:rFonts w:ascii="Times New Roman" w:eastAsia="Calibri" w:hAnsi="Times New Roman"/>
                <w:sz w:val="20"/>
                <w:szCs w:val="20"/>
              </w:rPr>
            </w:pPr>
            <w:r w:rsidRPr="00604E0E">
              <w:rPr>
                <w:rFonts w:ascii="Times New Roman" w:eastAsia="Calibri" w:hAnsi="Times New Roman"/>
                <w:sz w:val="20"/>
                <w:szCs w:val="20"/>
              </w:rPr>
              <w:t>Pb * Cu</w:t>
            </w:r>
          </w:p>
        </w:tc>
        <w:tc>
          <w:tcPr>
            <w:tcW w:w="2200" w:type="pct"/>
            <w:tcBorders>
              <w:top w:val="single" w:sz="4" w:space="0" w:color="auto"/>
            </w:tcBorders>
            <w:shd w:val="clear" w:color="auto" w:fill="auto"/>
          </w:tcPr>
          <w:p w:rsidR="00625A74" w:rsidRPr="00604E0E" w:rsidRDefault="00625A74" w:rsidP="00604E0E">
            <w:pPr>
              <w:jc w:val="center"/>
              <w:rPr>
                <w:rFonts w:ascii="Times New Roman" w:eastAsia="Calibri" w:hAnsi="Times New Roman"/>
                <w:sz w:val="20"/>
                <w:szCs w:val="20"/>
              </w:rPr>
            </w:pPr>
            <w:r w:rsidRPr="00604E0E">
              <w:rPr>
                <w:rFonts w:ascii="Times New Roman" w:eastAsia="Calibri" w:hAnsi="Times New Roman"/>
                <w:sz w:val="20"/>
                <w:szCs w:val="20"/>
              </w:rPr>
              <w:t>0.357</w:t>
            </w:r>
          </w:p>
        </w:tc>
        <w:tc>
          <w:tcPr>
            <w:tcW w:w="1665" w:type="pct"/>
            <w:tcBorders>
              <w:top w:val="single" w:sz="4" w:space="0" w:color="auto"/>
            </w:tcBorders>
            <w:shd w:val="clear" w:color="auto" w:fill="auto"/>
          </w:tcPr>
          <w:p w:rsidR="00625A74" w:rsidRPr="00604E0E" w:rsidRDefault="00625A74" w:rsidP="00604E0E">
            <w:pPr>
              <w:jc w:val="center"/>
              <w:rPr>
                <w:rFonts w:ascii="Times New Roman" w:eastAsia="Calibri" w:hAnsi="Times New Roman"/>
                <w:sz w:val="20"/>
                <w:szCs w:val="20"/>
              </w:rPr>
            </w:pPr>
            <w:r w:rsidRPr="00604E0E">
              <w:rPr>
                <w:rFonts w:ascii="Times New Roman" w:eastAsia="Calibri" w:hAnsi="Times New Roman"/>
                <w:sz w:val="20"/>
                <w:szCs w:val="20"/>
              </w:rPr>
              <w:t>0.013*</w:t>
            </w:r>
          </w:p>
        </w:tc>
      </w:tr>
      <w:tr w:rsidR="00426938" w:rsidRPr="009418F4" w:rsidTr="00426938">
        <w:trPr>
          <w:trHeight w:val="110"/>
          <w:jc w:val="center"/>
        </w:trPr>
        <w:tc>
          <w:tcPr>
            <w:tcW w:w="1136" w:type="pct"/>
            <w:tcBorders>
              <w:bottom w:val="single" w:sz="4" w:space="0" w:color="auto"/>
            </w:tcBorders>
            <w:shd w:val="clear" w:color="auto" w:fill="auto"/>
          </w:tcPr>
          <w:p w:rsidR="00426938" w:rsidRPr="00604E0E" w:rsidRDefault="00426938" w:rsidP="00426938">
            <w:pPr>
              <w:jc w:val="center"/>
              <w:rPr>
                <w:rFonts w:ascii="Times New Roman" w:eastAsia="Calibri" w:hAnsi="Times New Roman"/>
                <w:sz w:val="20"/>
                <w:szCs w:val="20"/>
              </w:rPr>
            </w:pPr>
            <w:r>
              <w:rPr>
                <w:rFonts w:ascii="Times New Roman" w:eastAsia="Calibri" w:hAnsi="Times New Roman"/>
                <w:sz w:val="20"/>
                <w:szCs w:val="20"/>
              </w:rPr>
              <w:t>Pb * As</w:t>
            </w:r>
          </w:p>
        </w:tc>
        <w:tc>
          <w:tcPr>
            <w:tcW w:w="2200" w:type="pct"/>
            <w:tcBorders>
              <w:bottom w:val="single" w:sz="4" w:space="0" w:color="auto"/>
            </w:tcBorders>
            <w:shd w:val="clear" w:color="auto" w:fill="auto"/>
          </w:tcPr>
          <w:p w:rsidR="00426938" w:rsidRPr="00604E0E" w:rsidRDefault="00426938" w:rsidP="00426938">
            <w:pPr>
              <w:jc w:val="center"/>
              <w:rPr>
                <w:rFonts w:ascii="Times New Roman" w:eastAsia="Calibri" w:hAnsi="Times New Roman"/>
                <w:sz w:val="20"/>
                <w:szCs w:val="20"/>
              </w:rPr>
            </w:pPr>
            <w:r>
              <w:rPr>
                <w:rFonts w:ascii="Times New Roman" w:eastAsia="Calibri" w:hAnsi="Times New Roman"/>
                <w:sz w:val="20"/>
                <w:szCs w:val="20"/>
              </w:rPr>
              <w:t>0.467</w:t>
            </w:r>
          </w:p>
        </w:tc>
        <w:tc>
          <w:tcPr>
            <w:tcW w:w="1665" w:type="pct"/>
            <w:tcBorders>
              <w:bottom w:val="single" w:sz="4" w:space="0" w:color="auto"/>
            </w:tcBorders>
            <w:shd w:val="clear" w:color="auto" w:fill="auto"/>
          </w:tcPr>
          <w:p w:rsidR="00426938" w:rsidRPr="00604E0E" w:rsidRDefault="00426938" w:rsidP="00426938">
            <w:pPr>
              <w:jc w:val="center"/>
              <w:rPr>
                <w:rFonts w:ascii="Times New Roman" w:eastAsia="Calibri" w:hAnsi="Times New Roman"/>
                <w:sz w:val="20"/>
                <w:szCs w:val="20"/>
              </w:rPr>
            </w:pPr>
            <w:r>
              <w:rPr>
                <w:rFonts w:ascii="Times New Roman" w:eastAsia="Calibri" w:hAnsi="Times New Roman"/>
                <w:sz w:val="20"/>
                <w:szCs w:val="20"/>
              </w:rPr>
              <w:t>0.045</w:t>
            </w:r>
            <w:r w:rsidRPr="00604E0E">
              <w:rPr>
                <w:rFonts w:ascii="Times New Roman" w:eastAsia="Calibri" w:hAnsi="Times New Roman"/>
                <w:sz w:val="20"/>
                <w:szCs w:val="20"/>
              </w:rPr>
              <w:t>*</w:t>
            </w:r>
          </w:p>
        </w:tc>
      </w:tr>
    </w:tbl>
    <w:p w:rsidR="00625A74" w:rsidRPr="00625A74" w:rsidRDefault="00625A74" w:rsidP="00625A74">
      <w:pPr>
        <w:autoSpaceDE w:val="0"/>
        <w:autoSpaceDN w:val="0"/>
        <w:adjustRightInd w:val="0"/>
        <w:rPr>
          <w:rFonts w:ascii="Times New Roman" w:hAnsi="Times New Roman"/>
          <w:i/>
          <w:sz w:val="20"/>
          <w:szCs w:val="24"/>
          <w:lang w:val="en-MY"/>
        </w:rPr>
      </w:pPr>
      <w:r w:rsidRPr="00625A74">
        <w:rPr>
          <w:rFonts w:ascii="Times New Roman" w:hAnsi="Times New Roman"/>
          <w:i/>
          <w:sz w:val="20"/>
          <w:szCs w:val="24"/>
          <w:lang w:val="en-MY"/>
        </w:rPr>
        <w:t>* p is significant when &lt;0.05</w:t>
      </w:r>
    </w:p>
    <w:p w:rsidR="003B779A" w:rsidRPr="0032715F" w:rsidRDefault="00230629" w:rsidP="00230629">
      <w:pPr>
        <w:pStyle w:val="SAP-Level3HeadingSingleline"/>
        <w:keepNext/>
      </w:pPr>
      <w:r w:rsidRPr="0032715F">
        <w:t>3.</w:t>
      </w:r>
      <w:r w:rsidR="00F758FF">
        <w:rPr>
          <w:rFonts w:eastAsia="SimSun"/>
        </w:rPr>
        <w:t>2</w:t>
      </w:r>
      <w:r w:rsidRPr="0032715F">
        <w:t>.</w:t>
      </w:r>
      <w:r w:rsidR="00F758FF">
        <w:rPr>
          <w:rFonts w:eastAsia="SimSun"/>
        </w:rPr>
        <w:t>1</w:t>
      </w:r>
      <w:r>
        <w:rPr>
          <w:rFonts w:eastAsia="SimSun" w:hint="eastAsia"/>
        </w:rPr>
        <w:t>.</w:t>
      </w:r>
      <w:r w:rsidR="003B779A" w:rsidRPr="00230629">
        <w:t xml:space="preserve"> </w:t>
      </w:r>
      <w:r w:rsidR="00F758FF" w:rsidRPr="00F758FF">
        <w:t>Work Factor and Safety and Health Practices</w:t>
      </w:r>
    </w:p>
    <w:p w:rsidR="003B779A" w:rsidRDefault="00F758FF" w:rsidP="003B779A">
      <w:pPr>
        <w:pStyle w:val="SAP-Paragraph"/>
        <w:ind w:firstLine="200"/>
        <w:rPr>
          <w:lang w:val="en-US"/>
        </w:rPr>
      </w:pPr>
      <w:r>
        <w:rPr>
          <w:lang w:val="en-US"/>
        </w:rPr>
        <w:t>Figure 1</w:t>
      </w:r>
      <w:r w:rsidRPr="00F758FF">
        <w:rPr>
          <w:lang w:val="en-US"/>
        </w:rPr>
        <w:t xml:space="preserve"> presents the reported work factors among the goldsmiths. It was found that approximately half of all workers have less than 9 years of experience (48%) and most of them performed different tasks of work including goldsmith work (15%), designing (8%), clerking (8%) and sales (8%). The working hours in a day was mostly 8 hours (85%) more than half of them reported overtime work in a week (58%) with duration of 2 to 4 hours (56%). </w:t>
      </w:r>
    </w:p>
    <w:p w:rsidR="00F758FF" w:rsidRDefault="00F758FF" w:rsidP="003B779A">
      <w:pPr>
        <w:pStyle w:val="SAP-Paragraph"/>
        <w:ind w:firstLine="200"/>
        <w:rPr>
          <w:lang w:val="en-US"/>
        </w:rPr>
      </w:pPr>
    </w:p>
    <w:p w:rsidR="00F758FF" w:rsidRPr="002B7E48" w:rsidRDefault="00106218" w:rsidP="00F758FF">
      <w:pPr>
        <w:spacing w:after="40" w:line="276" w:lineRule="auto"/>
        <w:jc w:val="center"/>
        <w:rPr>
          <w:rFonts w:ascii="Times New Roman" w:hAnsi="Times New Roman"/>
          <w:b/>
          <w:sz w:val="20"/>
          <w:szCs w:val="20"/>
        </w:rPr>
      </w:pPr>
      <w:r w:rsidRPr="002B7E48">
        <w:rPr>
          <w:rFonts w:ascii="Times New Roman" w:hAnsi="Times New Roman"/>
          <w:noProof/>
          <w:sz w:val="24"/>
          <w:szCs w:val="24"/>
          <w:lang w:eastAsia="en-US"/>
        </w:rPr>
        <w:lastRenderedPageBreak/>
        <w:drawing>
          <wp:inline distT="0" distB="0" distL="0" distR="0">
            <wp:extent cx="2838450" cy="1266825"/>
            <wp:effectExtent l="0" t="0" r="0" b="9525"/>
            <wp:docPr id="3" name="Picture 3" descr="ImageForArticle_7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ForArticle_767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8450" cy="1266825"/>
                    </a:xfrm>
                    <a:prstGeom prst="rect">
                      <a:avLst/>
                    </a:prstGeom>
                    <a:noFill/>
                    <a:ln>
                      <a:noFill/>
                    </a:ln>
                  </pic:spPr>
                </pic:pic>
              </a:graphicData>
            </a:graphic>
          </wp:inline>
        </w:drawing>
      </w:r>
    </w:p>
    <w:p w:rsidR="00F758FF" w:rsidRPr="002B7E48" w:rsidRDefault="00F758FF" w:rsidP="00067E45">
      <w:pPr>
        <w:pStyle w:val="SAP-FigureCaptionMulti-Lines"/>
        <w:spacing w:after="156"/>
        <w:jc w:val="center"/>
        <w:rPr>
          <w:b/>
        </w:rPr>
      </w:pPr>
      <w:r w:rsidRPr="002B7E48">
        <w:rPr>
          <w:b/>
        </w:rPr>
        <w:t>Fig</w:t>
      </w:r>
      <w:r w:rsidRPr="002B7E48">
        <w:rPr>
          <w:rFonts w:eastAsia="SimSun"/>
          <w:b/>
        </w:rPr>
        <w:t>ure</w:t>
      </w:r>
      <w:r w:rsidRPr="002B7E48">
        <w:rPr>
          <w:b/>
        </w:rPr>
        <w:t xml:space="preserve"> 1</w:t>
      </w:r>
      <w:r w:rsidRPr="002B7E48">
        <w:rPr>
          <w:rFonts w:eastAsia="SimSun" w:hint="eastAsia"/>
          <w:b/>
        </w:rPr>
        <w:t>.</w:t>
      </w:r>
      <w:r w:rsidRPr="002B7E48">
        <w:t xml:space="preserve"> </w:t>
      </w:r>
      <w:r w:rsidRPr="002B7E48">
        <w:rPr>
          <w:rFonts w:eastAsia="SimSun"/>
        </w:rPr>
        <w:t xml:space="preserve"> </w:t>
      </w:r>
      <w:r w:rsidRPr="002B7E48">
        <w:t>The calibration curve for Pb analysis via ICP-OES</w:t>
      </w:r>
    </w:p>
    <w:p w:rsidR="003B779A" w:rsidRPr="002B7E48" w:rsidRDefault="003B779A" w:rsidP="00C93A8F">
      <w:pPr>
        <w:pStyle w:val="SAP-Level1HeadingSingleline"/>
        <w:keepNext/>
      </w:pPr>
      <w:r w:rsidRPr="002B7E48">
        <w:rPr>
          <w:lang w:val="en-GB"/>
        </w:rPr>
        <w:t xml:space="preserve">4. </w:t>
      </w:r>
      <w:r w:rsidR="00625A74" w:rsidRPr="002B7E48">
        <w:t>Discussion</w:t>
      </w:r>
    </w:p>
    <w:p w:rsidR="003B779A" w:rsidRPr="002B7E48" w:rsidRDefault="00F758FF" w:rsidP="003B779A">
      <w:pPr>
        <w:pStyle w:val="SAP-Paragraph"/>
        <w:ind w:firstLine="200"/>
        <w:rPr>
          <w:b/>
        </w:rPr>
      </w:pPr>
      <w:r w:rsidRPr="002B7E48">
        <w:rPr>
          <w:lang w:val="en-US"/>
        </w:rPr>
        <w:t xml:space="preserve">In comparing the Pb and Cu distributions with a previous study performed in Italy among seventy-five welders, this study reported extremely high Pb exposure (0.66 versus 68.00 μg/g) and Cu levels (13.27 versus 34.91 μg/g) (D’Ilio et al., 2000). The difference between the study in Italy and this study was the focus on the production of batteries in which the complete working cycle from melting to casting was carried out by a single craftsman (D’Ilio et al., 2000). </w:t>
      </w:r>
    </w:p>
    <w:p w:rsidR="003B779A" w:rsidRPr="002B7E48" w:rsidRDefault="003B779A" w:rsidP="003B779A">
      <w:pPr>
        <w:pStyle w:val="SAP-Level1HeadingSingleline"/>
        <w:keepNext/>
      </w:pPr>
      <w:r w:rsidRPr="002B7E48">
        <w:t xml:space="preserve">5. Conclusion </w:t>
      </w:r>
    </w:p>
    <w:p w:rsidR="003B779A" w:rsidRPr="002B7E48" w:rsidRDefault="00F758FF" w:rsidP="003B779A">
      <w:pPr>
        <w:pStyle w:val="SAP-Paragraph"/>
        <w:ind w:firstLine="200"/>
      </w:pPr>
      <w:r w:rsidRPr="002B7E48">
        <w:rPr>
          <w:lang w:val="en-US"/>
        </w:rPr>
        <w:t xml:space="preserve">In conclusion, the geometric mean (standard deviation) for Pb and Cu in hair samples of welders was 68.0±100.41 μg/g and 34.91±21.88 μg/g. The reported safety and health practice was poor and the usage of PPE was not linked to lower heavy metal exposures. Thus, some of the measures that can be adopted are the use of LEV system at work sections that produce dust and fumes. This study has showed that there is a need for safety and health training to be given to welders to increase their knowledge and practice in safety and health. </w:t>
      </w:r>
    </w:p>
    <w:p w:rsidR="003B779A" w:rsidRPr="002B7E48" w:rsidRDefault="00B81F14" w:rsidP="00AB53E1">
      <w:pPr>
        <w:pStyle w:val="SAP-Acknowledgement"/>
        <w:keepNext/>
        <w:rPr>
          <w:rFonts w:eastAsia="SimSun"/>
          <w:color w:val="FF0000"/>
        </w:rPr>
      </w:pPr>
      <w:r w:rsidRPr="002B7E48">
        <w:rPr>
          <w:caps w:val="0"/>
        </w:rPr>
        <w:t>Acknowledgement</w:t>
      </w:r>
    </w:p>
    <w:p w:rsidR="00625A74" w:rsidRPr="002B7E48" w:rsidRDefault="00625A74" w:rsidP="00625A74">
      <w:pPr>
        <w:pStyle w:val="SAP-Paragraph"/>
        <w:ind w:firstLine="200"/>
        <w:rPr>
          <w:lang w:val="en-US"/>
        </w:rPr>
      </w:pPr>
      <w:r w:rsidRPr="002B7E48">
        <w:rPr>
          <w:lang w:val="en-US"/>
        </w:rPr>
        <w:t xml:space="preserve">The authors would like to thank the Faculty of Medicine and Health Sciences, Universiti Putra Malaysia for funding for the research, the Bioscience Institute, Universiti Putra Malaysia for the technical assistance rendered. Lastly, the authors would like to thank all respondents who volunteered to participate in this study and their cooperation given throughout the data collection process. </w:t>
      </w:r>
    </w:p>
    <w:p w:rsidR="003B779A" w:rsidRPr="0032715F" w:rsidRDefault="00B81F14" w:rsidP="003B779A">
      <w:pPr>
        <w:pStyle w:val="SAP-ReferenceHeading"/>
        <w:keepNext/>
      </w:pPr>
      <w:r w:rsidRPr="002B7E48">
        <w:rPr>
          <w:caps w:val="0"/>
        </w:rPr>
        <w:t>References</w:t>
      </w:r>
      <w:r w:rsidRPr="0032715F">
        <w:rPr>
          <w:caps w:val="0"/>
        </w:rPr>
        <w:t xml:space="preserve"> </w:t>
      </w:r>
    </w:p>
    <w:p w:rsidR="00F758FF" w:rsidRPr="00F758FF" w:rsidRDefault="00F758FF" w:rsidP="00F758FF">
      <w:pPr>
        <w:pStyle w:val="SAP-ReferenceItem"/>
        <w:rPr>
          <w:lang w:val="en-029"/>
        </w:rPr>
      </w:pPr>
      <w:r w:rsidRPr="00F758FF">
        <w:rPr>
          <w:lang w:val="en-029"/>
        </w:rPr>
        <w:t xml:space="preserve">Yolton, K., Dietrich, K., Auinger, P., Lanphear, B. P., &amp; Hornung, R. (2005). Exposure to environmental tobacco smoke and cognitive abilities among US children and adolescents. </w:t>
      </w:r>
      <w:r w:rsidRPr="00F758FF">
        <w:rPr>
          <w:i/>
          <w:iCs/>
          <w:lang w:val="en-029"/>
        </w:rPr>
        <w:t>Environmental Health Perspectives, 113</w:t>
      </w:r>
      <w:r w:rsidRPr="00F758FF">
        <w:rPr>
          <w:lang w:val="en-029"/>
        </w:rPr>
        <w:t>(1), 98.</w:t>
      </w:r>
    </w:p>
    <w:p w:rsidR="00C10FBB" w:rsidRDefault="00F758FF" w:rsidP="00F758FF">
      <w:pPr>
        <w:pStyle w:val="SAP-ReferenceItem"/>
        <w:rPr>
          <w:lang w:val="en-029"/>
        </w:rPr>
      </w:pPr>
      <w:r w:rsidRPr="00F758FF">
        <w:rPr>
          <w:lang w:val="en-029"/>
        </w:rPr>
        <w:t xml:space="preserve">Zlotkowska, R., &amp; Zejda, J. E. (2005). Fetal and postnatal exposure to tobacco smoke and respiratory health in children. </w:t>
      </w:r>
      <w:r w:rsidRPr="00F758FF">
        <w:rPr>
          <w:i/>
          <w:iCs/>
          <w:lang w:val="en-029"/>
        </w:rPr>
        <w:t>European Journal of Epidemiology, 20</w:t>
      </w:r>
      <w:r w:rsidRPr="00F758FF">
        <w:rPr>
          <w:lang w:val="en-029"/>
        </w:rPr>
        <w:t>(8), 719-727.</w:t>
      </w:r>
    </w:p>
    <w:p w:rsidR="00F758FF" w:rsidRPr="00F758FF" w:rsidRDefault="00F758FF" w:rsidP="00F758FF">
      <w:pPr>
        <w:pStyle w:val="SAP-ReferenceItem"/>
        <w:rPr>
          <w:lang w:val="en-029"/>
        </w:rPr>
      </w:pPr>
      <w:r w:rsidRPr="00F758FF">
        <w:rPr>
          <w:lang w:val="en-029"/>
        </w:rPr>
        <w:t xml:space="preserve">Uematsu T, Mizuno A, Nagashima S, et al. (1995). The axial distribution of nicotine content along hair shaft as an indicator of changes in smoking behaviour: evaluation in a smoking-cessation programme with or without the aid of nicotine chewing gum. </w:t>
      </w:r>
      <w:r w:rsidRPr="00F758FF">
        <w:rPr>
          <w:i/>
          <w:iCs/>
          <w:lang w:val="en-029"/>
        </w:rPr>
        <w:t>Br J Clin Pharmacol,</w:t>
      </w:r>
      <w:r w:rsidRPr="00F758FF">
        <w:rPr>
          <w:lang w:val="en-029"/>
        </w:rPr>
        <w:t xml:space="preserve"> 39:665e9.</w:t>
      </w:r>
    </w:p>
    <w:p w:rsidR="00F758FF" w:rsidRPr="00F758FF" w:rsidRDefault="00F758FF" w:rsidP="00F758FF">
      <w:pPr>
        <w:pStyle w:val="SAP-ReferenceItem"/>
        <w:rPr>
          <w:lang w:val="en-029"/>
        </w:rPr>
      </w:pPr>
      <w:r w:rsidRPr="00F758FF">
        <w:rPr>
          <w:lang w:val="en-029"/>
        </w:rPr>
        <w:lastRenderedPageBreak/>
        <w:t xml:space="preserve">Uematsu T. (1993). Utilization of hair analysis for therapeutic drug monitoring with a special reference to oflaxacin and to nicotine. </w:t>
      </w:r>
      <w:r w:rsidRPr="00F758FF">
        <w:rPr>
          <w:i/>
          <w:iCs/>
          <w:lang w:val="en-029"/>
        </w:rPr>
        <w:t>Forensic Sci Int,</w:t>
      </w:r>
      <w:r w:rsidRPr="00F758FF">
        <w:rPr>
          <w:lang w:val="en-029"/>
        </w:rPr>
        <w:t xml:space="preserve"> 63, 261–8.</w:t>
      </w:r>
    </w:p>
    <w:p w:rsidR="00F758FF" w:rsidRPr="00F758FF" w:rsidRDefault="00F758FF" w:rsidP="00F758FF">
      <w:pPr>
        <w:pStyle w:val="SAP-ReferenceItem"/>
        <w:rPr>
          <w:lang w:val="en-029"/>
        </w:rPr>
      </w:pPr>
      <w:r w:rsidRPr="00F758FF">
        <w:rPr>
          <w:lang w:val="en-029"/>
        </w:rPr>
        <w:t xml:space="preserve">Vlaski, E., Stavric, K., Seckova, L., Kimovska, M., &amp; Isjanovska, R. (2011). Do household tobacco smoking habits influence asthma, rhinitis and eczema among 13-14 year-old adolescents? </w:t>
      </w:r>
      <w:r w:rsidRPr="00F758FF">
        <w:rPr>
          <w:i/>
          <w:iCs/>
          <w:lang w:val="en-029"/>
        </w:rPr>
        <w:t>Allergologia et Immunopathologia, 39</w:t>
      </w:r>
      <w:r w:rsidRPr="00F758FF">
        <w:rPr>
          <w:lang w:val="en-029"/>
        </w:rPr>
        <w:t>(1), 39-44.</w:t>
      </w:r>
    </w:p>
    <w:p w:rsidR="00F758FF" w:rsidRPr="00F758FF" w:rsidRDefault="00F758FF" w:rsidP="00F758FF">
      <w:pPr>
        <w:pStyle w:val="SAP-ReferenceItem"/>
        <w:rPr>
          <w:lang w:val="en-029"/>
        </w:rPr>
      </w:pPr>
    </w:p>
    <w:sectPr w:rsidR="00F758FF" w:rsidRPr="00F758FF" w:rsidSect="006B1F9A">
      <w:type w:val="continuous"/>
      <w:pgSz w:w="11907" w:h="16160" w:code="9"/>
      <w:pgMar w:top="851" w:right="851" w:bottom="851" w:left="1134" w:header="1134" w:footer="1134" w:gutter="0"/>
      <w:pgNumType w:start="1"/>
      <w:cols w:num="2" w:space="252"/>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81" w:rsidRDefault="009D5481" w:rsidP="00903224">
      <w:r>
        <w:separator/>
      </w:r>
    </w:p>
  </w:endnote>
  <w:endnote w:type="continuationSeparator" w:id="0">
    <w:p w:rsidR="009D5481" w:rsidRDefault="009D5481"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81" w:rsidRDefault="009D5481" w:rsidP="00903224">
      <w:r>
        <w:separator/>
      </w:r>
    </w:p>
  </w:footnote>
  <w:footnote w:type="continuationSeparator" w:id="0">
    <w:p w:rsidR="009D5481" w:rsidRDefault="009D5481" w:rsidP="00903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F9A" w:rsidRPr="00F328DD" w:rsidRDefault="003B779A"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1" w:name="OLE_LINK2"/>
    <w:r w:rsidRPr="00CE0F0F">
      <w:rPr>
        <w:sz w:val="18"/>
        <w:szCs w:val="18"/>
      </w:rPr>
      <w:t>Advances in Bioscience and Biotechnology</w:t>
    </w:r>
    <w:bookmarkEnd w:id="1"/>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5D44"/>
    <w:rsid w:val="000660F0"/>
    <w:rsid w:val="00067E45"/>
    <w:rsid w:val="00067E9A"/>
    <w:rsid w:val="0007141C"/>
    <w:rsid w:val="00073433"/>
    <w:rsid w:val="000742BF"/>
    <w:rsid w:val="000756D1"/>
    <w:rsid w:val="00076A73"/>
    <w:rsid w:val="000823B4"/>
    <w:rsid w:val="000901C7"/>
    <w:rsid w:val="000914EF"/>
    <w:rsid w:val="00091D38"/>
    <w:rsid w:val="00093A2C"/>
    <w:rsid w:val="00093B68"/>
    <w:rsid w:val="00093BA8"/>
    <w:rsid w:val="00097354"/>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69DD"/>
    <w:rsid w:val="000F6ECA"/>
    <w:rsid w:val="000F710A"/>
    <w:rsid w:val="000F76C1"/>
    <w:rsid w:val="0010006E"/>
    <w:rsid w:val="001023DB"/>
    <w:rsid w:val="0010341F"/>
    <w:rsid w:val="001034CF"/>
    <w:rsid w:val="001035A6"/>
    <w:rsid w:val="0010414D"/>
    <w:rsid w:val="001056FE"/>
    <w:rsid w:val="00106218"/>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5125"/>
    <w:rsid w:val="001835DA"/>
    <w:rsid w:val="00183A73"/>
    <w:rsid w:val="001859AD"/>
    <w:rsid w:val="00186F5E"/>
    <w:rsid w:val="00191148"/>
    <w:rsid w:val="00192E0D"/>
    <w:rsid w:val="00197AD4"/>
    <w:rsid w:val="001A6C0A"/>
    <w:rsid w:val="001A6FA0"/>
    <w:rsid w:val="001A7292"/>
    <w:rsid w:val="001B07C1"/>
    <w:rsid w:val="001B10FF"/>
    <w:rsid w:val="001B163F"/>
    <w:rsid w:val="001B2254"/>
    <w:rsid w:val="001B39E3"/>
    <w:rsid w:val="001B52D2"/>
    <w:rsid w:val="001B68E0"/>
    <w:rsid w:val="001C0CAD"/>
    <w:rsid w:val="001C0ED7"/>
    <w:rsid w:val="001C6217"/>
    <w:rsid w:val="001D01E6"/>
    <w:rsid w:val="001D1A95"/>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48C4"/>
    <w:rsid w:val="002554CE"/>
    <w:rsid w:val="00255878"/>
    <w:rsid w:val="002569F9"/>
    <w:rsid w:val="0025766D"/>
    <w:rsid w:val="00260DE6"/>
    <w:rsid w:val="00264DC6"/>
    <w:rsid w:val="00270017"/>
    <w:rsid w:val="0027121C"/>
    <w:rsid w:val="0027439E"/>
    <w:rsid w:val="00276422"/>
    <w:rsid w:val="00280B86"/>
    <w:rsid w:val="002814F1"/>
    <w:rsid w:val="002816C2"/>
    <w:rsid w:val="002821DE"/>
    <w:rsid w:val="002838EF"/>
    <w:rsid w:val="00283C95"/>
    <w:rsid w:val="0028580B"/>
    <w:rsid w:val="00286162"/>
    <w:rsid w:val="00287586"/>
    <w:rsid w:val="002906D0"/>
    <w:rsid w:val="002910C9"/>
    <w:rsid w:val="00292BEF"/>
    <w:rsid w:val="00293CE2"/>
    <w:rsid w:val="00295AB3"/>
    <w:rsid w:val="0029610E"/>
    <w:rsid w:val="002A25A1"/>
    <w:rsid w:val="002A41AC"/>
    <w:rsid w:val="002B598C"/>
    <w:rsid w:val="002B7E48"/>
    <w:rsid w:val="002C2ACB"/>
    <w:rsid w:val="002C2FDB"/>
    <w:rsid w:val="002C41BA"/>
    <w:rsid w:val="002C7A61"/>
    <w:rsid w:val="002D182F"/>
    <w:rsid w:val="002D1BC9"/>
    <w:rsid w:val="002D2E45"/>
    <w:rsid w:val="002D303F"/>
    <w:rsid w:val="002D38D9"/>
    <w:rsid w:val="002E1169"/>
    <w:rsid w:val="002E205E"/>
    <w:rsid w:val="002E2F4F"/>
    <w:rsid w:val="002E3BA4"/>
    <w:rsid w:val="002E4CCD"/>
    <w:rsid w:val="002F0250"/>
    <w:rsid w:val="002F0787"/>
    <w:rsid w:val="002F137C"/>
    <w:rsid w:val="002F3BCD"/>
    <w:rsid w:val="002F4BA0"/>
    <w:rsid w:val="002F7BFB"/>
    <w:rsid w:val="003012E8"/>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18F1"/>
    <w:rsid w:val="003A1964"/>
    <w:rsid w:val="003A363C"/>
    <w:rsid w:val="003A37FB"/>
    <w:rsid w:val="003A4078"/>
    <w:rsid w:val="003A57B0"/>
    <w:rsid w:val="003B040E"/>
    <w:rsid w:val="003B335E"/>
    <w:rsid w:val="003B4623"/>
    <w:rsid w:val="003B5F46"/>
    <w:rsid w:val="003B779A"/>
    <w:rsid w:val="003C257D"/>
    <w:rsid w:val="003C342B"/>
    <w:rsid w:val="003D10CE"/>
    <w:rsid w:val="003D4A94"/>
    <w:rsid w:val="003D50AA"/>
    <w:rsid w:val="003D514F"/>
    <w:rsid w:val="003D7550"/>
    <w:rsid w:val="003E05B6"/>
    <w:rsid w:val="003E1BE2"/>
    <w:rsid w:val="003E2C24"/>
    <w:rsid w:val="003E5790"/>
    <w:rsid w:val="003F4123"/>
    <w:rsid w:val="003F5D4F"/>
    <w:rsid w:val="003F787E"/>
    <w:rsid w:val="00403346"/>
    <w:rsid w:val="004108EC"/>
    <w:rsid w:val="00410D05"/>
    <w:rsid w:val="00411E43"/>
    <w:rsid w:val="00412DFD"/>
    <w:rsid w:val="00421389"/>
    <w:rsid w:val="00421418"/>
    <w:rsid w:val="0042240F"/>
    <w:rsid w:val="004225DC"/>
    <w:rsid w:val="0042391C"/>
    <w:rsid w:val="0042646A"/>
    <w:rsid w:val="00426938"/>
    <w:rsid w:val="004272C1"/>
    <w:rsid w:val="00430CE1"/>
    <w:rsid w:val="00431E6E"/>
    <w:rsid w:val="0043311A"/>
    <w:rsid w:val="00435750"/>
    <w:rsid w:val="0043710D"/>
    <w:rsid w:val="00437CBE"/>
    <w:rsid w:val="004426DA"/>
    <w:rsid w:val="0045052A"/>
    <w:rsid w:val="00452D19"/>
    <w:rsid w:val="004538D4"/>
    <w:rsid w:val="00456669"/>
    <w:rsid w:val="0046098F"/>
    <w:rsid w:val="004609CB"/>
    <w:rsid w:val="00462702"/>
    <w:rsid w:val="00464C2F"/>
    <w:rsid w:val="00464EFE"/>
    <w:rsid w:val="004663E6"/>
    <w:rsid w:val="004677AB"/>
    <w:rsid w:val="0047000F"/>
    <w:rsid w:val="00471CEF"/>
    <w:rsid w:val="00472261"/>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7903"/>
    <w:rsid w:val="004D413D"/>
    <w:rsid w:val="004D4475"/>
    <w:rsid w:val="004D7457"/>
    <w:rsid w:val="004E1756"/>
    <w:rsid w:val="004E3397"/>
    <w:rsid w:val="004E403C"/>
    <w:rsid w:val="004E4820"/>
    <w:rsid w:val="004E5955"/>
    <w:rsid w:val="004E6E44"/>
    <w:rsid w:val="004F24C3"/>
    <w:rsid w:val="004F689D"/>
    <w:rsid w:val="0050228C"/>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382C"/>
    <w:rsid w:val="005D3AA4"/>
    <w:rsid w:val="005D4D97"/>
    <w:rsid w:val="005E0CB2"/>
    <w:rsid w:val="005E32CB"/>
    <w:rsid w:val="005E4077"/>
    <w:rsid w:val="005E4209"/>
    <w:rsid w:val="005F2545"/>
    <w:rsid w:val="005F25EE"/>
    <w:rsid w:val="00601995"/>
    <w:rsid w:val="00602E54"/>
    <w:rsid w:val="006048A6"/>
    <w:rsid w:val="00604E0E"/>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5A74"/>
    <w:rsid w:val="00627AD0"/>
    <w:rsid w:val="006311DC"/>
    <w:rsid w:val="006313DC"/>
    <w:rsid w:val="0063289D"/>
    <w:rsid w:val="006338FA"/>
    <w:rsid w:val="00633AA3"/>
    <w:rsid w:val="00637399"/>
    <w:rsid w:val="0064458F"/>
    <w:rsid w:val="00647164"/>
    <w:rsid w:val="0064728D"/>
    <w:rsid w:val="00647702"/>
    <w:rsid w:val="0065136F"/>
    <w:rsid w:val="00662707"/>
    <w:rsid w:val="0066451D"/>
    <w:rsid w:val="00666E93"/>
    <w:rsid w:val="006677FB"/>
    <w:rsid w:val="00670704"/>
    <w:rsid w:val="006719E2"/>
    <w:rsid w:val="00672079"/>
    <w:rsid w:val="00672900"/>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51CB"/>
    <w:rsid w:val="006C5D16"/>
    <w:rsid w:val="006C5D59"/>
    <w:rsid w:val="006C6ECB"/>
    <w:rsid w:val="006C7FA5"/>
    <w:rsid w:val="006D1F3F"/>
    <w:rsid w:val="006E1406"/>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7FC"/>
    <w:rsid w:val="0073621E"/>
    <w:rsid w:val="00737604"/>
    <w:rsid w:val="00740605"/>
    <w:rsid w:val="0075352F"/>
    <w:rsid w:val="007604F0"/>
    <w:rsid w:val="00765771"/>
    <w:rsid w:val="00766303"/>
    <w:rsid w:val="007718F1"/>
    <w:rsid w:val="0077753C"/>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607C"/>
    <w:rsid w:val="00833E60"/>
    <w:rsid w:val="00837954"/>
    <w:rsid w:val="00845032"/>
    <w:rsid w:val="008520EA"/>
    <w:rsid w:val="00853223"/>
    <w:rsid w:val="00857636"/>
    <w:rsid w:val="0086200B"/>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A6407"/>
    <w:rsid w:val="008B082E"/>
    <w:rsid w:val="008B0F8E"/>
    <w:rsid w:val="008B15B4"/>
    <w:rsid w:val="008B193F"/>
    <w:rsid w:val="008B1D85"/>
    <w:rsid w:val="008B1E2E"/>
    <w:rsid w:val="008B2AB2"/>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AC"/>
    <w:rsid w:val="008F58D1"/>
    <w:rsid w:val="0090190C"/>
    <w:rsid w:val="00902427"/>
    <w:rsid w:val="00903224"/>
    <w:rsid w:val="00910324"/>
    <w:rsid w:val="009108B1"/>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5481"/>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75EE"/>
    <w:rsid w:val="00A578A0"/>
    <w:rsid w:val="00A6110F"/>
    <w:rsid w:val="00A64510"/>
    <w:rsid w:val="00A648FE"/>
    <w:rsid w:val="00A66323"/>
    <w:rsid w:val="00A729DB"/>
    <w:rsid w:val="00A73297"/>
    <w:rsid w:val="00A74CB9"/>
    <w:rsid w:val="00A75002"/>
    <w:rsid w:val="00A75B9F"/>
    <w:rsid w:val="00A764AA"/>
    <w:rsid w:val="00A769AB"/>
    <w:rsid w:val="00A82B39"/>
    <w:rsid w:val="00A833F1"/>
    <w:rsid w:val="00A901C2"/>
    <w:rsid w:val="00A90305"/>
    <w:rsid w:val="00A91326"/>
    <w:rsid w:val="00A91B2D"/>
    <w:rsid w:val="00A96C65"/>
    <w:rsid w:val="00A96E93"/>
    <w:rsid w:val="00AB0183"/>
    <w:rsid w:val="00AB2196"/>
    <w:rsid w:val="00AB2346"/>
    <w:rsid w:val="00AB4EC3"/>
    <w:rsid w:val="00AB53E1"/>
    <w:rsid w:val="00AB5963"/>
    <w:rsid w:val="00AC0324"/>
    <w:rsid w:val="00AC13A3"/>
    <w:rsid w:val="00AC3D61"/>
    <w:rsid w:val="00AC7A3F"/>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8E2"/>
    <w:rsid w:val="00B71093"/>
    <w:rsid w:val="00B72277"/>
    <w:rsid w:val="00B723F8"/>
    <w:rsid w:val="00B7413A"/>
    <w:rsid w:val="00B744F8"/>
    <w:rsid w:val="00B74642"/>
    <w:rsid w:val="00B76613"/>
    <w:rsid w:val="00B77CA9"/>
    <w:rsid w:val="00B81F14"/>
    <w:rsid w:val="00B82019"/>
    <w:rsid w:val="00B84DE7"/>
    <w:rsid w:val="00B84F7E"/>
    <w:rsid w:val="00B875B2"/>
    <w:rsid w:val="00B91C7D"/>
    <w:rsid w:val="00B94C1E"/>
    <w:rsid w:val="00B97C4E"/>
    <w:rsid w:val="00BA28AF"/>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C0303D"/>
    <w:rsid w:val="00C038D6"/>
    <w:rsid w:val="00C05F72"/>
    <w:rsid w:val="00C10FBB"/>
    <w:rsid w:val="00C1132D"/>
    <w:rsid w:val="00C12903"/>
    <w:rsid w:val="00C12960"/>
    <w:rsid w:val="00C13B5D"/>
    <w:rsid w:val="00C15526"/>
    <w:rsid w:val="00C2469C"/>
    <w:rsid w:val="00C33930"/>
    <w:rsid w:val="00C36A40"/>
    <w:rsid w:val="00C42BEA"/>
    <w:rsid w:val="00C43B6B"/>
    <w:rsid w:val="00C50750"/>
    <w:rsid w:val="00C50813"/>
    <w:rsid w:val="00C520F6"/>
    <w:rsid w:val="00C5645D"/>
    <w:rsid w:val="00C60317"/>
    <w:rsid w:val="00C6075A"/>
    <w:rsid w:val="00C63648"/>
    <w:rsid w:val="00C65450"/>
    <w:rsid w:val="00C66BAC"/>
    <w:rsid w:val="00C66D5D"/>
    <w:rsid w:val="00C6733D"/>
    <w:rsid w:val="00C67756"/>
    <w:rsid w:val="00C67820"/>
    <w:rsid w:val="00C67848"/>
    <w:rsid w:val="00C67B8F"/>
    <w:rsid w:val="00C70A44"/>
    <w:rsid w:val="00C7178D"/>
    <w:rsid w:val="00C76593"/>
    <w:rsid w:val="00C77654"/>
    <w:rsid w:val="00C840CF"/>
    <w:rsid w:val="00C8720B"/>
    <w:rsid w:val="00C878E8"/>
    <w:rsid w:val="00C92145"/>
    <w:rsid w:val="00C93A8F"/>
    <w:rsid w:val="00C95988"/>
    <w:rsid w:val="00C96998"/>
    <w:rsid w:val="00CA19BC"/>
    <w:rsid w:val="00CA234A"/>
    <w:rsid w:val="00CA6B9D"/>
    <w:rsid w:val="00CA7266"/>
    <w:rsid w:val="00CB1BF8"/>
    <w:rsid w:val="00CB1E09"/>
    <w:rsid w:val="00CB22B5"/>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506E"/>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4847"/>
    <w:rsid w:val="00E41F91"/>
    <w:rsid w:val="00E4249C"/>
    <w:rsid w:val="00E44E84"/>
    <w:rsid w:val="00E46F15"/>
    <w:rsid w:val="00E472C3"/>
    <w:rsid w:val="00E514AD"/>
    <w:rsid w:val="00E556E3"/>
    <w:rsid w:val="00E55A43"/>
    <w:rsid w:val="00E56E65"/>
    <w:rsid w:val="00E60A7E"/>
    <w:rsid w:val="00E631E9"/>
    <w:rsid w:val="00E65D69"/>
    <w:rsid w:val="00E668FD"/>
    <w:rsid w:val="00E67B74"/>
    <w:rsid w:val="00E714BE"/>
    <w:rsid w:val="00E73FA5"/>
    <w:rsid w:val="00E759B2"/>
    <w:rsid w:val="00E75FAB"/>
    <w:rsid w:val="00E75FFA"/>
    <w:rsid w:val="00E77794"/>
    <w:rsid w:val="00E80769"/>
    <w:rsid w:val="00E80B42"/>
    <w:rsid w:val="00E81C7A"/>
    <w:rsid w:val="00E835DC"/>
    <w:rsid w:val="00E83EE8"/>
    <w:rsid w:val="00E84B3F"/>
    <w:rsid w:val="00E857DF"/>
    <w:rsid w:val="00E87AF4"/>
    <w:rsid w:val="00E9000E"/>
    <w:rsid w:val="00E92915"/>
    <w:rsid w:val="00E92E53"/>
    <w:rsid w:val="00E944B0"/>
    <w:rsid w:val="00E95A99"/>
    <w:rsid w:val="00E974CA"/>
    <w:rsid w:val="00EA300F"/>
    <w:rsid w:val="00EA5286"/>
    <w:rsid w:val="00EA7DD2"/>
    <w:rsid w:val="00EB2023"/>
    <w:rsid w:val="00EB4F64"/>
    <w:rsid w:val="00EB52D6"/>
    <w:rsid w:val="00EB59CE"/>
    <w:rsid w:val="00EB65DA"/>
    <w:rsid w:val="00EC3144"/>
    <w:rsid w:val="00EC486A"/>
    <w:rsid w:val="00EC6767"/>
    <w:rsid w:val="00EC69D0"/>
    <w:rsid w:val="00EC7D7B"/>
    <w:rsid w:val="00ED0457"/>
    <w:rsid w:val="00ED0D8A"/>
    <w:rsid w:val="00ED2049"/>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8FF"/>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EB5"/>
    <w:rsid w:val="00FD1811"/>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01903F-8B0E-4FF7-A79B-9D23C9F8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rsid w:val="003B779A"/>
  </w:style>
  <w:style w:type="paragraph" w:customStyle="1" w:styleId="SAP-Affiliation">
    <w:name w:val="SAP-Affiliation"/>
    <w:basedOn w:val="Normal"/>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semiHidden/>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865736"/>
    <w:rPr>
      <w:sz w:val="18"/>
      <w:szCs w:val="18"/>
    </w:rPr>
  </w:style>
  <w:style w:type="paragraph" w:styleId="Footer">
    <w:name w:val="footer"/>
    <w:basedOn w:val="Normal"/>
    <w:link w:val="FooterChar"/>
    <w:uiPriority w:val="99"/>
    <w:semiHidden/>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semiHidden/>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table" w:customStyle="1" w:styleId="TableGrid1">
    <w:name w:val="Table Grid1"/>
    <w:basedOn w:val="TableNormal"/>
    <w:next w:val="TableGrid"/>
    <w:uiPriority w:val="59"/>
    <w:rsid w:val="00625A7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8B53E-C638-43B3-B0B9-7D9A0CEEF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nina fatma</cp:lastModifiedBy>
  <cp:revision>2</cp:revision>
  <dcterms:created xsi:type="dcterms:W3CDTF">2017-01-04T02:43:00Z</dcterms:created>
  <dcterms:modified xsi:type="dcterms:W3CDTF">2017-01-04T02:43:00Z</dcterms:modified>
</cp:coreProperties>
</file>